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38D" w:rsidRPr="00497352" w:rsidRDefault="0008738D" w:rsidP="0008738D">
      <w:pPr>
        <w:pStyle w:val="Title"/>
        <w:rPr>
          <w:b/>
          <w:bCs/>
          <w:color w:val="943634" w:themeColor="accent2" w:themeShade="BF"/>
        </w:rPr>
      </w:pPr>
      <w:r w:rsidRPr="00497352">
        <w:rPr>
          <w:b/>
          <w:bCs/>
          <w:color w:val="943634" w:themeColor="accent2" w:themeShade="BF"/>
        </w:rPr>
        <w:t xml:space="preserve">Refund </w:t>
      </w:r>
    </w:p>
    <w:p w:rsidR="0008738D" w:rsidRPr="00853344" w:rsidRDefault="0008738D" w:rsidP="0008738D">
      <w:pPr>
        <w:pStyle w:val="ListParagraph"/>
        <w:numPr>
          <w:ilvl w:val="0"/>
          <w:numId w:val="1"/>
        </w:numPr>
        <w:spacing w:after="0" w:line="360" w:lineRule="auto"/>
        <w:ind w:left="709" w:hanging="567"/>
        <w:jc w:val="both"/>
        <w:rPr>
          <w:rFonts w:ascii="Arial" w:hAnsi="Arial" w:cs="Arial"/>
          <w:sz w:val="24"/>
          <w:szCs w:val="24"/>
        </w:rPr>
      </w:pPr>
      <w:r w:rsidRPr="00853344">
        <w:rPr>
          <w:rFonts w:ascii="Arial" w:hAnsi="Arial" w:cs="Arial"/>
          <w:sz w:val="24"/>
          <w:szCs w:val="24"/>
        </w:rPr>
        <w:t>Refund of Smart Card and Student Smart Card in different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1860"/>
        <w:gridCol w:w="3030"/>
      </w:tblGrid>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Card attributes</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Conditions</w:t>
            </w:r>
          </w:p>
        </w:tc>
        <w:tc>
          <w:tcPr>
            <w:tcW w:w="3030"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Refund Scenario</w:t>
            </w: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Physical condition</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Ok</w:t>
            </w:r>
          </w:p>
        </w:tc>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 xml:space="preserve"> Only Security Deposit is refunded. </w:t>
            </w: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Electronic Readability</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Ok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Readability of engraved ID</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Clear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Validity</w:t>
            </w:r>
          </w:p>
        </w:tc>
        <w:tc>
          <w:tcPr>
            <w:tcW w:w="1860"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Expired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bl>
    <w:p w:rsidR="0008738D" w:rsidRPr="00853344" w:rsidRDefault="0008738D" w:rsidP="0008738D">
      <w:pPr>
        <w:spacing w:after="0" w:line="360" w:lineRule="auto"/>
        <w:ind w:left="720" w:hanging="720"/>
        <w:jc w:val="both"/>
        <w:rPr>
          <w:rFonts w:ascii="Arial" w:hAnsi="Arial" w:cs="Arial"/>
          <w:b/>
          <w:bCs/>
          <w:sz w:val="24"/>
          <w:szCs w:val="24"/>
        </w:rPr>
      </w:pPr>
    </w:p>
    <w:tbl>
      <w:tblPr>
        <w:tblStyle w:val="TableGrid"/>
        <w:tblW w:w="0" w:type="auto"/>
        <w:tblInd w:w="279" w:type="dxa"/>
        <w:tblLook w:val="04A0" w:firstRow="1" w:lastRow="0" w:firstColumn="1" w:lastColumn="0" w:noHBand="0" w:noVBand="1"/>
      </w:tblPr>
      <w:tblGrid>
        <w:gridCol w:w="3662"/>
        <w:gridCol w:w="1870"/>
        <w:gridCol w:w="3028"/>
      </w:tblGrid>
      <w:tr w:rsidR="0008738D" w:rsidRPr="00853344" w:rsidTr="000445FF">
        <w:trPr>
          <w:trHeight w:val="440"/>
        </w:trPr>
        <w:tc>
          <w:tcPr>
            <w:tcW w:w="3662" w:type="dxa"/>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Card attributes</w:t>
            </w:r>
          </w:p>
        </w:tc>
        <w:tc>
          <w:tcPr>
            <w:tcW w:w="1870" w:type="dxa"/>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Conditions</w:t>
            </w:r>
          </w:p>
        </w:tc>
        <w:tc>
          <w:tcPr>
            <w:tcW w:w="3028" w:type="dxa"/>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Refund Scenario</w:t>
            </w:r>
          </w:p>
        </w:tc>
      </w:tr>
      <w:tr w:rsidR="0008738D" w:rsidRPr="00853344" w:rsidTr="000445FF">
        <w:trPr>
          <w:trHeight w:val="452"/>
        </w:trPr>
        <w:tc>
          <w:tcPr>
            <w:tcW w:w="3662" w:type="dxa"/>
            <w:vAlign w:val="center"/>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Physical condition</w:t>
            </w:r>
          </w:p>
        </w:tc>
        <w:tc>
          <w:tcPr>
            <w:tcW w:w="1870" w:type="dxa"/>
            <w:vAlign w:val="center"/>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Ok</w:t>
            </w:r>
          </w:p>
        </w:tc>
        <w:tc>
          <w:tcPr>
            <w:tcW w:w="3028" w:type="dxa"/>
            <w:vMerge w:val="restart"/>
          </w:tcPr>
          <w:p w:rsidR="0008738D" w:rsidRPr="00853344" w:rsidRDefault="0008738D" w:rsidP="00C97D87">
            <w:pPr>
              <w:spacing w:line="360" w:lineRule="auto"/>
              <w:jc w:val="both"/>
              <w:rPr>
                <w:rFonts w:ascii="Arial" w:hAnsi="Arial" w:cs="Arial"/>
                <w:bCs/>
                <w:sz w:val="24"/>
                <w:szCs w:val="24"/>
              </w:rPr>
            </w:pPr>
            <w:r w:rsidRPr="00853344">
              <w:rPr>
                <w:rFonts w:ascii="Arial" w:hAnsi="Arial" w:cs="Arial"/>
                <w:bCs/>
                <w:sz w:val="24"/>
                <w:szCs w:val="24"/>
              </w:rPr>
              <w:t>Proportionate balance amount is refunded along with Security Deposit.</w:t>
            </w:r>
          </w:p>
        </w:tc>
      </w:tr>
      <w:tr w:rsidR="0008738D" w:rsidRPr="00853344" w:rsidTr="000445FF">
        <w:trPr>
          <w:trHeight w:val="440"/>
        </w:trPr>
        <w:tc>
          <w:tcPr>
            <w:tcW w:w="3662" w:type="dxa"/>
            <w:vAlign w:val="center"/>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Electronic Readability</w:t>
            </w:r>
          </w:p>
        </w:tc>
        <w:tc>
          <w:tcPr>
            <w:tcW w:w="1870" w:type="dxa"/>
            <w:vAlign w:val="center"/>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Ok</w:t>
            </w:r>
          </w:p>
        </w:tc>
        <w:tc>
          <w:tcPr>
            <w:tcW w:w="3028" w:type="dxa"/>
            <w:vMerge/>
          </w:tcPr>
          <w:p w:rsidR="0008738D" w:rsidRPr="00853344" w:rsidRDefault="0008738D" w:rsidP="00C97D87">
            <w:pPr>
              <w:spacing w:line="360" w:lineRule="auto"/>
              <w:jc w:val="both"/>
              <w:rPr>
                <w:rFonts w:ascii="Arial" w:hAnsi="Arial" w:cs="Arial"/>
                <w:bCs/>
                <w:sz w:val="24"/>
                <w:szCs w:val="24"/>
              </w:rPr>
            </w:pPr>
          </w:p>
        </w:tc>
      </w:tr>
      <w:tr w:rsidR="0008738D" w:rsidRPr="00853344" w:rsidTr="000445FF">
        <w:trPr>
          <w:trHeight w:val="452"/>
        </w:trPr>
        <w:tc>
          <w:tcPr>
            <w:tcW w:w="3662" w:type="dxa"/>
            <w:vAlign w:val="center"/>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Readability of engraved ID</w:t>
            </w:r>
          </w:p>
        </w:tc>
        <w:tc>
          <w:tcPr>
            <w:tcW w:w="1870" w:type="dxa"/>
            <w:vAlign w:val="center"/>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Clear</w:t>
            </w:r>
          </w:p>
        </w:tc>
        <w:tc>
          <w:tcPr>
            <w:tcW w:w="3028" w:type="dxa"/>
            <w:vMerge/>
          </w:tcPr>
          <w:p w:rsidR="0008738D" w:rsidRPr="00853344" w:rsidRDefault="0008738D" w:rsidP="00C97D87">
            <w:pPr>
              <w:spacing w:line="360" w:lineRule="auto"/>
              <w:jc w:val="both"/>
              <w:rPr>
                <w:rFonts w:ascii="Arial" w:hAnsi="Arial" w:cs="Arial"/>
                <w:bCs/>
                <w:sz w:val="24"/>
                <w:szCs w:val="24"/>
              </w:rPr>
            </w:pPr>
          </w:p>
        </w:tc>
      </w:tr>
      <w:tr w:rsidR="0008738D" w:rsidRPr="00853344" w:rsidTr="000445FF">
        <w:trPr>
          <w:trHeight w:val="440"/>
        </w:trPr>
        <w:tc>
          <w:tcPr>
            <w:tcW w:w="3662" w:type="dxa"/>
            <w:vAlign w:val="center"/>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Validity</w:t>
            </w:r>
          </w:p>
        </w:tc>
        <w:tc>
          <w:tcPr>
            <w:tcW w:w="1870" w:type="dxa"/>
            <w:vAlign w:val="center"/>
          </w:tcPr>
          <w:p w:rsidR="0008738D" w:rsidRPr="00853344" w:rsidRDefault="0008738D" w:rsidP="00C97D87">
            <w:pPr>
              <w:spacing w:line="360" w:lineRule="auto"/>
              <w:jc w:val="both"/>
              <w:rPr>
                <w:rFonts w:ascii="Arial" w:hAnsi="Arial" w:cs="Arial"/>
                <w:sz w:val="24"/>
                <w:szCs w:val="24"/>
              </w:rPr>
            </w:pPr>
            <w:r w:rsidRPr="00853344">
              <w:rPr>
                <w:rFonts w:ascii="Arial" w:hAnsi="Arial" w:cs="Arial"/>
                <w:sz w:val="24"/>
                <w:szCs w:val="24"/>
              </w:rPr>
              <w:t>OK</w:t>
            </w:r>
          </w:p>
        </w:tc>
        <w:tc>
          <w:tcPr>
            <w:tcW w:w="3028" w:type="dxa"/>
            <w:vMerge/>
          </w:tcPr>
          <w:p w:rsidR="0008738D" w:rsidRPr="00853344" w:rsidRDefault="0008738D" w:rsidP="00C97D87">
            <w:pPr>
              <w:spacing w:line="360" w:lineRule="auto"/>
              <w:jc w:val="both"/>
              <w:rPr>
                <w:rFonts w:ascii="Arial" w:hAnsi="Arial" w:cs="Arial"/>
                <w:bCs/>
                <w:sz w:val="24"/>
                <w:szCs w:val="24"/>
              </w:rPr>
            </w:pPr>
          </w:p>
        </w:tc>
      </w:tr>
    </w:tbl>
    <w:p w:rsidR="0008738D" w:rsidRPr="00853344" w:rsidRDefault="0008738D" w:rsidP="0008738D">
      <w:pPr>
        <w:spacing w:after="0" w:line="360" w:lineRule="auto"/>
        <w:ind w:left="720" w:hanging="720"/>
        <w:jc w:val="both"/>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522"/>
        <w:gridCol w:w="3915"/>
      </w:tblGrid>
      <w:tr w:rsidR="0008738D" w:rsidRPr="00853344" w:rsidTr="00C97D8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Card attributes</w:t>
            </w:r>
          </w:p>
        </w:tc>
        <w:tc>
          <w:tcPr>
            <w:tcW w:w="1522"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Conditions</w:t>
            </w:r>
          </w:p>
        </w:tc>
        <w:tc>
          <w:tcPr>
            <w:tcW w:w="3915"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Refund Scenario</w:t>
            </w:r>
          </w:p>
        </w:tc>
      </w:tr>
      <w:tr w:rsidR="0008738D" w:rsidRPr="00853344" w:rsidTr="00C97D8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Physical condition</w:t>
            </w:r>
          </w:p>
        </w:tc>
        <w:tc>
          <w:tcPr>
            <w:tcW w:w="1522"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Ok</w:t>
            </w:r>
          </w:p>
        </w:tc>
        <w:tc>
          <w:tcPr>
            <w:tcW w:w="3915" w:type="dxa"/>
            <w:vMerge w:val="restart"/>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Proportionate balance amount is refunded along with Security Deposit.</w:t>
            </w:r>
          </w:p>
        </w:tc>
      </w:tr>
      <w:tr w:rsidR="0008738D" w:rsidRPr="00853344" w:rsidTr="00C97D8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Electronic Readability</w:t>
            </w:r>
          </w:p>
        </w:tc>
        <w:tc>
          <w:tcPr>
            <w:tcW w:w="1522"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Unreadable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r w:rsidR="0008738D" w:rsidRPr="00853344" w:rsidTr="00C97D8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Readability of engraved ID</w:t>
            </w:r>
          </w:p>
        </w:tc>
        <w:tc>
          <w:tcPr>
            <w:tcW w:w="1522"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Clear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r w:rsidR="0008738D" w:rsidRPr="00853344" w:rsidTr="00C97D8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Validity</w:t>
            </w:r>
          </w:p>
        </w:tc>
        <w:tc>
          <w:tcPr>
            <w:tcW w:w="1522" w:type="dxa"/>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Ok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bl>
    <w:p w:rsidR="0008738D" w:rsidRPr="00853344" w:rsidRDefault="0008738D" w:rsidP="0008738D">
      <w:pPr>
        <w:spacing w:after="0" w:line="36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1860"/>
        <w:gridCol w:w="3186"/>
      </w:tblGrid>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Card attributes</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Conditions</w:t>
            </w:r>
          </w:p>
        </w:tc>
        <w:tc>
          <w:tcPr>
            <w:tcW w:w="3186"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Refund Scenario</w:t>
            </w: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Physical condition</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Ok</w:t>
            </w:r>
          </w:p>
        </w:tc>
        <w:tc>
          <w:tcPr>
            <w:tcW w:w="3186" w:type="dxa"/>
            <w:vMerge w:val="restart"/>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Only Security Deposit is refunded.</w:t>
            </w: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Electronic Readability</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 xml:space="preserve">Unreadable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Readability of engraved ID</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Clear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Validity</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Expired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bl>
    <w:p w:rsidR="0008738D" w:rsidRPr="00853344" w:rsidRDefault="0008738D" w:rsidP="0008738D">
      <w:pPr>
        <w:spacing w:after="0" w:line="360" w:lineRule="auto"/>
        <w:ind w:left="720" w:hanging="720"/>
        <w:jc w:val="both"/>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1860"/>
        <w:gridCol w:w="3186"/>
      </w:tblGrid>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Card attributes</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Conditions</w:t>
            </w:r>
          </w:p>
        </w:tc>
        <w:tc>
          <w:tcPr>
            <w:tcW w:w="3186"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Refund Scenario</w:t>
            </w: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Physical condition</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Damaged</w:t>
            </w:r>
          </w:p>
        </w:tc>
        <w:tc>
          <w:tcPr>
            <w:tcW w:w="3186" w:type="dxa"/>
            <w:vMerge w:val="restart"/>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Proportionate balance amount is refunded without Security Deposit.</w:t>
            </w: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Electronic Readability</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Ok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Readability of engraved ID</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Clear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Validity</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Ok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bl>
    <w:p w:rsidR="0008738D" w:rsidRPr="009E40C6" w:rsidRDefault="0008738D" w:rsidP="0008738D">
      <w:pPr>
        <w:pStyle w:val="ListParagraph"/>
        <w:spacing w:after="0" w:line="360" w:lineRule="auto"/>
        <w:jc w:val="both"/>
        <w:rPr>
          <w:rFonts w:ascii="Arial" w:hAnsi="Arial" w:cs="Arial"/>
          <w:b/>
          <w:bCs/>
          <w:sz w:val="24"/>
          <w:szCs w:val="24"/>
        </w:rPr>
      </w:pPr>
    </w:p>
    <w:p w:rsidR="0008738D" w:rsidRPr="00853344" w:rsidRDefault="0008738D" w:rsidP="0008738D">
      <w:pPr>
        <w:spacing w:after="0" w:line="360" w:lineRule="auto"/>
        <w:ind w:left="720" w:hanging="720"/>
        <w:jc w:val="both"/>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1860"/>
        <w:gridCol w:w="3186"/>
      </w:tblGrid>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Card attributes</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Conditions</w:t>
            </w:r>
          </w:p>
        </w:tc>
        <w:tc>
          <w:tcPr>
            <w:tcW w:w="3186"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Refund Scenario</w:t>
            </w: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Physical condition</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Damaged</w:t>
            </w:r>
          </w:p>
        </w:tc>
        <w:tc>
          <w:tcPr>
            <w:tcW w:w="3186" w:type="dxa"/>
            <w:vMerge w:val="restart"/>
            <w:tcBorders>
              <w:top w:val="single" w:sz="4" w:space="0" w:color="auto"/>
              <w:left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 xml:space="preserve">No refund. </w:t>
            </w: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Electronic Readability</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Ok</w:t>
            </w:r>
          </w:p>
        </w:tc>
        <w:tc>
          <w:tcPr>
            <w:tcW w:w="0" w:type="auto"/>
            <w:vMerge/>
            <w:tcBorders>
              <w:left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Readability of engraved ID</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Clear</w:t>
            </w:r>
          </w:p>
        </w:tc>
        <w:tc>
          <w:tcPr>
            <w:tcW w:w="0" w:type="auto"/>
            <w:vMerge/>
            <w:tcBorders>
              <w:left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r w:rsidR="0008738D" w:rsidRPr="00853344" w:rsidTr="00C97D87">
        <w:trPr>
          <w:jc w:val="center"/>
        </w:trPr>
        <w:tc>
          <w:tcPr>
            <w:tcW w:w="3624"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Validity</w:t>
            </w:r>
          </w:p>
        </w:tc>
        <w:tc>
          <w:tcPr>
            <w:tcW w:w="1860" w:type="dxa"/>
            <w:tcBorders>
              <w:top w:val="single" w:sz="4" w:space="0" w:color="auto"/>
              <w:left w:val="single" w:sz="4" w:space="0" w:color="auto"/>
              <w:bottom w:val="single" w:sz="4" w:space="0" w:color="auto"/>
              <w:right w:val="single" w:sz="4" w:space="0" w:color="auto"/>
            </w:tcBorders>
            <w:hideMark/>
          </w:tcPr>
          <w:p w:rsidR="0008738D" w:rsidRPr="00853344" w:rsidRDefault="0008738D" w:rsidP="00C97D87">
            <w:pPr>
              <w:spacing w:after="0" w:line="360" w:lineRule="auto"/>
              <w:jc w:val="both"/>
              <w:rPr>
                <w:rFonts w:ascii="Arial" w:hAnsi="Arial" w:cs="Arial"/>
                <w:sz w:val="24"/>
                <w:szCs w:val="24"/>
              </w:rPr>
            </w:pPr>
            <w:r w:rsidRPr="00853344">
              <w:rPr>
                <w:rFonts w:ascii="Arial" w:hAnsi="Arial" w:cs="Arial"/>
                <w:sz w:val="24"/>
                <w:szCs w:val="24"/>
              </w:rPr>
              <w:t>Expired</w:t>
            </w:r>
          </w:p>
        </w:tc>
        <w:tc>
          <w:tcPr>
            <w:tcW w:w="0" w:type="auto"/>
            <w:vMerge/>
            <w:tcBorders>
              <w:left w:val="single" w:sz="4" w:space="0" w:color="auto"/>
              <w:bottom w:val="single" w:sz="4" w:space="0" w:color="auto"/>
              <w:right w:val="single" w:sz="4" w:space="0" w:color="auto"/>
            </w:tcBorders>
            <w:vAlign w:val="center"/>
            <w:hideMark/>
          </w:tcPr>
          <w:p w:rsidR="0008738D" w:rsidRPr="00853344" w:rsidRDefault="0008738D" w:rsidP="00C97D87">
            <w:pPr>
              <w:spacing w:after="0" w:line="360" w:lineRule="auto"/>
              <w:jc w:val="both"/>
              <w:rPr>
                <w:rFonts w:ascii="Arial" w:hAnsi="Arial" w:cs="Arial"/>
                <w:sz w:val="24"/>
                <w:szCs w:val="24"/>
              </w:rPr>
            </w:pPr>
          </w:p>
        </w:tc>
      </w:tr>
    </w:tbl>
    <w:p w:rsidR="00140DD7" w:rsidRPr="00140DD7" w:rsidRDefault="00140DD7" w:rsidP="00140DD7">
      <w:pPr>
        <w:spacing w:after="0" w:line="360" w:lineRule="auto"/>
        <w:jc w:val="both"/>
        <w:rPr>
          <w:rFonts w:ascii="Arial" w:hAnsi="Arial" w:cs="Arial"/>
          <w:b/>
          <w:bCs/>
          <w:sz w:val="24"/>
          <w:szCs w:val="24"/>
        </w:rPr>
      </w:pPr>
    </w:p>
    <w:p w:rsidR="00140DD7" w:rsidRPr="00140DD7" w:rsidRDefault="00140DD7" w:rsidP="00140DD7">
      <w:pPr>
        <w:pStyle w:val="ListParagraph"/>
        <w:numPr>
          <w:ilvl w:val="0"/>
          <w:numId w:val="2"/>
        </w:numPr>
        <w:spacing w:after="0" w:line="360" w:lineRule="auto"/>
        <w:ind w:left="567"/>
        <w:jc w:val="both"/>
        <w:rPr>
          <w:rFonts w:ascii="Arial" w:hAnsi="Arial" w:cs="Arial"/>
          <w:b/>
          <w:bCs/>
          <w:sz w:val="24"/>
          <w:szCs w:val="24"/>
        </w:rPr>
      </w:pPr>
      <w:r>
        <w:rPr>
          <w:rFonts w:ascii="Arial" w:hAnsi="Arial" w:cs="Arial"/>
          <w:sz w:val="24"/>
          <w:szCs w:val="24"/>
        </w:rPr>
        <w:t xml:space="preserve">  </w:t>
      </w:r>
      <w:r w:rsidRPr="00140DD7">
        <w:rPr>
          <w:rFonts w:ascii="Arial" w:hAnsi="Arial" w:cs="Arial"/>
          <w:sz w:val="24"/>
          <w:szCs w:val="24"/>
        </w:rPr>
        <w:t xml:space="preserve">Central Control decides the passengers eligible for getting refund keeping in </w:t>
      </w:r>
      <w:r>
        <w:rPr>
          <w:rFonts w:ascii="Arial" w:hAnsi="Arial" w:cs="Arial"/>
          <w:sz w:val="24"/>
          <w:szCs w:val="24"/>
        </w:rPr>
        <w:t xml:space="preserve">       </w:t>
      </w:r>
    </w:p>
    <w:p w:rsidR="0008738D" w:rsidRPr="00140DD7" w:rsidRDefault="00140DD7" w:rsidP="00140DD7">
      <w:pPr>
        <w:spacing w:after="0" w:line="360" w:lineRule="auto"/>
        <w:ind w:left="207"/>
        <w:jc w:val="both"/>
        <w:rPr>
          <w:rFonts w:ascii="Arial" w:hAnsi="Arial" w:cs="Arial"/>
          <w:b/>
          <w:bCs/>
          <w:sz w:val="24"/>
          <w:szCs w:val="24"/>
        </w:rPr>
      </w:pPr>
      <w:r>
        <w:rPr>
          <w:rFonts w:ascii="Arial" w:hAnsi="Arial" w:cs="Arial"/>
          <w:sz w:val="24"/>
          <w:szCs w:val="24"/>
        </w:rPr>
        <w:t xml:space="preserve">        </w:t>
      </w:r>
      <w:r w:rsidRPr="00140DD7">
        <w:rPr>
          <w:rFonts w:ascii="Arial" w:hAnsi="Arial" w:cs="Arial"/>
          <w:sz w:val="24"/>
          <w:szCs w:val="24"/>
        </w:rPr>
        <w:t>view the duration of disruption, affected station etc.</w:t>
      </w:r>
    </w:p>
    <w:p w:rsidR="0008738D" w:rsidRDefault="0008738D" w:rsidP="0008738D">
      <w:pPr>
        <w:pStyle w:val="ListParagraph"/>
        <w:numPr>
          <w:ilvl w:val="0"/>
          <w:numId w:val="2"/>
        </w:numPr>
        <w:spacing w:after="0" w:line="360" w:lineRule="auto"/>
        <w:ind w:hanging="578"/>
        <w:jc w:val="both"/>
        <w:rPr>
          <w:rFonts w:ascii="Arial" w:hAnsi="Arial" w:cs="Arial"/>
          <w:sz w:val="24"/>
          <w:szCs w:val="24"/>
        </w:rPr>
      </w:pPr>
      <w:r w:rsidRPr="00853344">
        <w:rPr>
          <w:rFonts w:ascii="Arial" w:hAnsi="Arial" w:cs="Arial"/>
          <w:sz w:val="24"/>
          <w:szCs w:val="24"/>
        </w:rPr>
        <w:t>No refund is permissible in case engraved ID on the card is NOT clearly readable.</w:t>
      </w:r>
    </w:p>
    <w:p w:rsidR="0008738D" w:rsidRDefault="0008738D" w:rsidP="0008738D">
      <w:pPr>
        <w:pStyle w:val="ListParagraph"/>
        <w:numPr>
          <w:ilvl w:val="0"/>
          <w:numId w:val="2"/>
        </w:numPr>
        <w:spacing w:after="0" w:line="360" w:lineRule="auto"/>
        <w:ind w:hanging="578"/>
        <w:jc w:val="both"/>
        <w:rPr>
          <w:rFonts w:ascii="Arial" w:hAnsi="Arial" w:cs="Arial"/>
          <w:sz w:val="24"/>
          <w:szCs w:val="24"/>
        </w:rPr>
      </w:pPr>
      <w:r w:rsidRPr="00853344">
        <w:rPr>
          <w:rFonts w:ascii="Arial" w:hAnsi="Arial" w:cs="Arial"/>
          <w:sz w:val="24"/>
          <w:szCs w:val="24"/>
        </w:rPr>
        <w:t xml:space="preserve">There is no provision of refund of balance amount in tourist smart cards but SD is claimed on presentation of card after completion of validity. However Metro Railway administration reserves the right to consider </w:t>
      </w:r>
      <w:r w:rsidR="00EA46A9">
        <w:rPr>
          <w:rFonts w:ascii="Arial" w:hAnsi="Arial" w:cs="Arial"/>
          <w:sz w:val="24"/>
          <w:szCs w:val="24"/>
        </w:rPr>
        <w:t xml:space="preserve">a </w:t>
      </w:r>
      <w:r w:rsidRPr="00853344">
        <w:rPr>
          <w:rFonts w:ascii="Arial" w:hAnsi="Arial" w:cs="Arial"/>
          <w:sz w:val="24"/>
          <w:szCs w:val="24"/>
        </w:rPr>
        <w:t>few exceptional cases of refund of tourist smart card.</w:t>
      </w:r>
    </w:p>
    <w:p w:rsidR="0008738D" w:rsidRPr="00853344" w:rsidRDefault="0008738D" w:rsidP="0008738D">
      <w:pPr>
        <w:pStyle w:val="ListParagraph"/>
        <w:numPr>
          <w:ilvl w:val="0"/>
          <w:numId w:val="2"/>
        </w:numPr>
        <w:spacing w:after="0" w:line="360" w:lineRule="auto"/>
        <w:ind w:hanging="578"/>
        <w:jc w:val="both"/>
        <w:rPr>
          <w:rFonts w:ascii="Arial" w:hAnsi="Arial" w:cs="Arial"/>
          <w:sz w:val="24"/>
          <w:szCs w:val="24"/>
        </w:rPr>
      </w:pPr>
      <w:r w:rsidRPr="00853344">
        <w:rPr>
          <w:rFonts w:ascii="Arial" w:hAnsi="Arial" w:cs="Arial"/>
          <w:sz w:val="24"/>
          <w:szCs w:val="24"/>
        </w:rPr>
        <w:t>Smart card of any type is not permitted any refund in case of unusual incidents.</w:t>
      </w:r>
    </w:p>
    <w:p w:rsidR="00621E8F" w:rsidRDefault="00621E8F" w:rsidP="00621E8F">
      <w:pPr>
        <w:pStyle w:val="ListParagraph"/>
        <w:numPr>
          <w:ilvl w:val="0"/>
          <w:numId w:val="3"/>
        </w:numPr>
        <w:spacing w:after="0" w:line="360" w:lineRule="auto"/>
        <w:ind w:left="709" w:hanging="567"/>
        <w:jc w:val="both"/>
        <w:rPr>
          <w:rFonts w:ascii="Arial" w:hAnsi="Arial" w:cs="Arial"/>
          <w:sz w:val="24"/>
          <w:szCs w:val="24"/>
        </w:rPr>
      </w:pPr>
      <w:r w:rsidRPr="00853344">
        <w:rPr>
          <w:rFonts w:ascii="Arial" w:hAnsi="Arial" w:cs="Arial"/>
          <w:sz w:val="24"/>
          <w:szCs w:val="24"/>
        </w:rPr>
        <w:t>Balance amount is refunded, in case of CST</w:t>
      </w:r>
      <w:r>
        <w:rPr>
          <w:rFonts w:ascii="Arial" w:hAnsi="Arial" w:cs="Arial"/>
          <w:sz w:val="24"/>
          <w:szCs w:val="24"/>
        </w:rPr>
        <w:t>(Contactless Smart Token)</w:t>
      </w:r>
      <w:r w:rsidRPr="00853344">
        <w:rPr>
          <w:rFonts w:ascii="Arial" w:hAnsi="Arial" w:cs="Arial"/>
          <w:sz w:val="24"/>
          <w:szCs w:val="24"/>
        </w:rPr>
        <w:t xml:space="preserve"> and CSC</w:t>
      </w:r>
      <w:r>
        <w:rPr>
          <w:rFonts w:ascii="Arial" w:hAnsi="Arial" w:cs="Arial"/>
          <w:sz w:val="24"/>
          <w:szCs w:val="24"/>
        </w:rPr>
        <w:t>(Contactless Smart Card)</w:t>
      </w:r>
      <w:r w:rsidRPr="00853344">
        <w:rPr>
          <w:rFonts w:ascii="Arial" w:hAnsi="Arial" w:cs="Arial"/>
          <w:sz w:val="24"/>
          <w:szCs w:val="24"/>
        </w:rPr>
        <w:t>, after rounding off to the immediate lower whole number.</w:t>
      </w:r>
    </w:p>
    <w:p w:rsidR="00621E8F" w:rsidRDefault="00621E8F" w:rsidP="00621E8F">
      <w:pPr>
        <w:pStyle w:val="ListParagraph"/>
        <w:numPr>
          <w:ilvl w:val="0"/>
          <w:numId w:val="3"/>
        </w:numPr>
        <w:spacing w:after="0" w:line="360" w:lineRule="auto"/>
        <w:ind w:left="709" w:hanging="567"/>
        <w:jc w:val="both"/>
        <w:rPr>
          <w:rFonts w:ascii="Arial" w:hAnsi="Arial" w:cs="Arial"/>
          <w:sz w:val="24"/>
          <w:szCs w:val="24"/>
        </w:rPr>
      </w:pPr>
      <w:r w:rsidRPr="00853344">
        <w:rPr>
          <w:rFonts w:ascii="Arial" w:hAnsi="Arial" w:cs="Arial"/>
          <w:sz w:val="24"/>
          <w:szCs w:val="24"/>
        </w:rPr>
        <w:t>CST once purchased cannot be refunded under normal circumstances if the passenger has already entered the paid area.</w:t>
      </w:r>
    </w:p>
    <w:p w:rsidR="00621E8F" w:rsidRDefault="00621E8F" w:rsidP="00621E8F">
      <w:pPr>
        <w:pStyle w:val="ListParagraph"/>
        <w:numPr>
          <w:ilvl w:val="0"/>
          <w:numId w:val="3"/>
        </w:numPr>
        <w:spacing w:after="0" w:line="360" w:lineRule="auto"/>
        <w:ind w:left="709" w:hanging="567"/>
        <w:jc w:val="both"/>
        <w:rPr>
          <w:rFonts w:ascii="Arial" w:hAnsi="Arial" w:cs="Arial"/>
          <w:sz w:val="24"/>
          <w:szCs w:val="24"/>
        </w:rPr>
      </w:pPr>
      <w:r w:rsidRPr="00853344">
        <w:rPr>
          <w:rFonts w:ascii="Arial" w:hAnsi="Arial" w:cs="Arial"/>
          <w:sz w:val="24"/>
          <w:szCs w:val="24"/>
        </w:rPr>
        <w:t xml:space="preserve">Full refund is allowed </w:t>
      </w:r>
      <w:r w:rsidR="00EB739F" w:rsidRPr="00853344">
        <w:rPr>
          <w:rFonts w:ascii="Arial" w:hAnsi="Arial" w:cs="Arial"/>
          <w:sz w:val="24"/>
          <w:szCs w:val="24"/>
        </w:rPr>
        <w:t>at token issuing</w:t>
      </w:r>
      <w:r w:rsidRPr="00853344">
        <w:rPr>
          <w:rFonts w:ascii="Arial" w:hAnsi="Arial" w:cs="Arial"/>
          <w:sz w:val="24"/>
          <w:szCs w:val="24"/>
        </w:rPr>
        <w:t xml:space="preserve"> station within validity period (i.e. 45 minutes) to a token holder who has not entered the </w:t>
      </w:r>
      <w:r w:rsidR="00EB739F" w:rsidRPr="00853344">
        <w:rPr>
          <w:rFonts w:ascii="Arial" w:hAnsi="Arial" w:cs="Arial"/>
          <w:sz w:val="24"/>
          <w:szCs w:val="24"/>
        </w:rPr>
        <w:t>paid area</w:t>
      </w:r>
      <w:r w:rsidRPr="00853344">
        <w:rPr>
          <w:rFonts w:ascii="Arial" w:hAnsi="Arial" w:cs="Arial"/>
          <w:sz w:val="24"/>
          <w:szCs w:val="24"/>
        </w:rPr>
        <w:t xml:space="preserve">. Beyond validity period extending </w:t>
      </w:r>
      <w:proofErr w:type="spellStart"/>
      <w:r w:rsidRPr="00853344">
        <w:rPr>
          <w:rFonts w:ascii="Arial" w:hAnsi="Arial" w:cs="Arial"/>
          <w:sz w:val="24"/>
          <w:szCs w:val="24"/>
        </w:rPr>
        <w:t>upto</w:t>
      </w:r>
      <w:proofErr w:type="spellEnd"/>
      <w:r w:rsidRPr="00853344">
        <w:rPr>
          <w:rFonts w:ascii="Arial" w:hAnsi="Arial" w:cs="Arial"/>
          <w:sz w:val="24"/>
          <w:szCs w:val="24"/>
        </w:rPr>
        <w:t xml:space="preserve"> next day, a refund of </w:t>
      </w:r>
      <w:r w:rsidR="00EA46A9">
        <w:rPr>
          <w:rFonts w:ascii="Arial" w:hAnsi="Arial" w:cs="Arial"/>
          <w:sz w:val="24"/>
          <w:szCs w:val="24"/>
        </w:rPr>
        <w:t>₹</w:t>
      </w:r>
      <w:r w:rsidRPr="00853344">
        <w:rPr>
          <w:rFonts w:ascii="Arial" w:hAnsi="Arial" w:cs="Arial"/>
          <w:sz w:val="24"/>
          <w:szCs w:val="24"/>
        </w:rPr>
        <w:t>5/- is allowed on presentation of token to the booking staff. From 3</w:t>
      </w:r>
      <w:r w:rsidRPr="00853344">
        <w:rPr>
          <w:rFonts w:ascii="Arial" w:hAnsi="Arial" w:cs="Arial"/>
          <w:sz w:val="24"/>
          <w:szCs w:val="24"/>
          <w:vertAlign w:val="superscript"/>
        </w:rPr>
        <w:t>rd</w:t>
      </w:r>
      <w:r w:rsidRPr="00853344">
        <w:rPr>
          <w:rFonts w:ascii="Arial" w:hAnsi="Arial" w:cs="Arial"/>
          <w:sz w:val="24"/>
          <w:szCs w:val="24"/>
        </w:rPr>
        <w:t xml:space="preserve"> day onwards </w:t>
      </w:r>
      <w:r w:rsidR="00EA46A9">
        <w:rPr>
          <w:rFonts w:ascii="Arial" w:hAnsi="Arial" w:cs="Arial"/>
          <w:sz w:val="24"/>
          <w:szCs w:val="24"/>
        </w:rPr>
        <w:t>₹</w:t>
      </w:r>
      <w:r w:rsidRPr="00853344">
        <w:rPr>
          <w:rFonts w:ascii="Arial" w:hAnsi="Arial" w:cs="Arial"/>
          <w:sz w:val="24"/>
          <w:szCs w:val="24"/>
        </w:rPr>
        <w:t xml:space="preserve">2/- (for tokens of </w:t>
      </w:r>
      <w:r w:rsidR="00EA46A9">
        <w:rPr>
          <w:rFonts w:ascii="Arial" w:hAnsi="Arial" w:cs="Arial"/>
          <w:sz w:val="24"/>
          <w:szCs w:val="24"/>
        </w:rPr>
        <w:t>₹</w:t>
      </w:r>
      <w:r w:rsidRPr="00853344">
        <w:rPr>
          <w:rFonts w:ascii="Arial" w:hAnsi="Arial" w:cs="Arial"/>
          <w:sz w:val="24"/>
          <w:szCs w:val="24"/>
        </w:rPr>
        <w:t xml:space="preserve">5/-) and </w:t>
      </w:r>
      <w:r w:rsidR="00EA46A9">
        <w:rPr>
          <w:rFonts w:ascii="Arial" w:hAnsi="Arial" w:cs="Arial"/>
          <w:sz w:val="24"/>
          <w:szCs w:val="24"/>
        </w:rPr>
        <w:t>₹</w:t>
      </w:r>
      <w:r w:rsidRPr="00853344">
        <w:rPr>
          <w:rFonts w:ascii="Arial" w:hAnsi="Arial" w:cs="Arial"/>
          <w:sz w:val="24"/>
          <w:szCs w:val="24"/>
        </w:rPr>
        <w:t xml:space="preserve">5/- (for tokens of more than </w:t>
      </w:r>
      <w:r w:rsidR="00EA46A9">
        <w:rPr>
          <w:rFonts w:ascii="Arial" w:hAnsi="Arial" w:cs="Arial"/>
          <w:sz w:val="24"/>
          <w:szCs w:val="24"/>
        </w:rPr>
        <w:t>₹</w:t>
      </w:r>
      <w:r w:rsidRPr="00853344">
        <w:rPr>
          <w:rFonts w:ascii="Arial" w:hAnsi="Arial" w:cs="Arial"/>
          <w:sz w:val="24"/>
          <w:szCs w:val="24"/>
        </w:rPr>
        <w:t>5/-) are refunded to the token holders wanting to return such tokens.</w:t>
      </w:r>
    </w:p>
    <w:p w:rsidR="00621E8F" w:rsidRDefault="00621E8F" w:rsidP="00621E8F">
      <w:pPr>
        <w:pStyle w:val="ListParagraph"/>
        <w:numPr>
          <w:ilvl w:val="0"/>
          <w:numId w:val="3"/>
        </w:numPr>
        <w:spacing w:after="0" w:line="360" w:lineRule="auto"/>
        <w:ind w:left="709" w:hanging="567"/>
        <w:jc w:val="both"/>
        <w:rPr>
          <w:rFonts w:ascii="Arial" w:hAnsi="Arial" w:cs="Arial"/>
          <w:sz w:val="24"/>
          <w:szCs w:val="24"/>
        </w:rPr>
      </w:pPr>
      <w:r w:rsidRPr="00853344">
        <w:rPr>
          <w:rFonts w:ascii="Arial" w:hAnsi="Arial" w:cs="Arial"/>
          <w:sz w:val="24"/>
          <w:szCs w:val="24"/>
        </w:rPr>
        <w:t>For corrupted / unreadable CST, a new CST is issued in replacement and the commuter is allowed to complete his journey.</w:t>
      </w:r>
    </w:p>
    <w:p w:rsidR="00621E8F" w:rsidRDefault="00621E8F" w:rsidP="00621E8F">
      <w:pPr>
        <w:pStyle w:val="ListParagraph"/>
        <w:numPr>
          <w:ilvl w:val="0"/>
          <w:numId w:val="3"/>
        </w:numPr>
        <w:spacing w:after="0" w:line="360" w:lineRule="auto"/>
        <w:ind w:left="709" w:hanging="567"/>
        <w:jc w:val="both"/>
        <w:rPr>
          <w:rFonts w:ascii="Arial" w:hAnsi="Arial" w:cs="Arial"/>
          <w:sz w:val="24"/>
          <w:szCs w:val="24"/>
        </w:rPr>
      </w:pPr>
      <w:r w:rsidRPr="00853344">
        <w:rPr>
          <w:rFonts w:ascii="Arial" w:hAnsi="Arial" w:cs="Arial"/>
          <w:sz w:val="24"/>
          <w:szCs w:val="24"/>
        </w:rPr>
        <w:t>For a partially used CST, no refund is granted in normal circumstances; the token is captured at the exit gate and the passenger is allowed to exit.</w:t>
      </w:r>
    </w:p>
    <w:p w:rsidR="00621E8F" w:rsidRDefault="00621E8F" w:rsidP="00621E8F">
      <w:pPr>
        <w:pStyle w:val="ListParagraph"/>
        <w:numPr>
          <w:ilvl w:val="0"/>
          <w:numId w:val="3"/>
        </w:numPr>
        <w:spacing w:after="0" w:line="360" w:lineRule="auto"/>
        <w:ind w:left="709" w:hanging="567"/>
        <w:jc w:val="both"/>
        <w:rPr>
          <w:rFonts w:ascii="Arial" w:hAnsi="Arial" w:cs="Arial"/>
          <w:sz w:val="24"/>
          <w:szCs w:val="24"/>
        </w:rPr>
      </w:pPr>
      <w:r w:rsidRPr="00853344">
        <w:rPr>
          <w:rFonts w:ascii="Arial" w:hAnsi="Arial" w:cs="Arial"/>
          <w:sz w:val="24"/>
          <w:szCs w:val="24"/>
        </w:rPr>
        <w:lastRenderedPageBreak/>
        <w:t>In case of unusual incidents (accidents, service disruption for more than 30 minutes), full refund is granted only at the CST issuing station on the day of occurrence to the token holder in station premises including both paid and unpaid area.</w:t>
      </w:r>
    </w:p>
    <w:p w:rsidR="00621E8F" w:rsidRDefault="00621E8F" w:rsidP="00621E8F">
      <w:pPr>
        <w:pStyle w:val="ListParagraph"/>
        <w:numPr>
          <w:ilvl w:val="0"/>
          <w:numId w:val="3"/>
        </w:numPr>
        <w:spacing w:after="0" w:line="360" w:lineRule="auto"/>
        <w:ind w:left="709" w:hanging="567"/>
        <w:jc w:val="both"/>
        <w:rPr>
          <w:rFonts w:ascii="Arial" w:hAnsi="Arial" w:cs="Arial"/>
          <w:sz w:val="24"/>
          <w:szCs w:val="24"/>
        </w:rPr>
      </w:pPr>
      <w:r w:rsidRPr="00853344">
        <w:rPr>
          <w:rFonts w:ascii="Arial" w:hAnsi="Arial" w:cs="Arial"/>
          <w:sz w:val="24"/>
          <w:szCs w:val="24"/>
        </w:rPr>
        <w:t>In face of unusual incidents exceeding 30 minutes, a passenger having a partially used token is refunded 50% of the fare on the day of occurrence.</w:t>
      </w:r>
    </w:p>
    <w:p w:rsidR="00621E8F" w:rsidRDefault="00621E8F" w:rsidP="00621E8F">
      <w:pPr>
        <w:pStyle w:val="ListParagraph"/>
        <w:numPr>
          <w:ilvl w:val="0"/>
          <w:numId w:val="3"/>
        </w:numPr>
        <w:spacing w:after="0" w:line="360" w:lineRule="auto"/>
        <w:ind w:left="709" w:hanging="567"/>
        <w:jc w:val="both"/>
        <w:rPr>
          <w:rFonts w:ascii="Arial" w:hAnsi="Arial" w:cs="Arial"/>
          <w:sz w:val="24"/>
          <w:szCs w:val="24"/>
        </w:rPr>
      </w:pPr>
      <w:r w:rsidRPr="00853344">
        <w:rPr>
          <w:rFonts w:ascii="Arial" w:hAnsi="Arial" w:cs="Arial"/>
          <w:sz w:val="24"/>
          <w:szCs w:val="24"/>
        </w:rPr>
        <w:t xml:space="preserve">Eligible passengers covered under </w:t>
      </w:r>
      <w:r>
        <w:rPr>
          <w:rFonts w:ascii="Arial" w:hAnsi="Arial" w:cs="Arial"/>
          <w:sz w:val="24"/>
          <w:szCs w:val="24"/>
        </w:rPr>
        <w:t>above two clauses</w:t>
      </w:r>
      <w:r w:rsidRPr="00853344">
        <w:rPr>
          <w:rFonts w:ascii="Arial" w:hAnsi="Arial" w:cs="Arial"/>
          <w:sz w:val="24"/>
          <w:szCs w:val="24"/>
        </w:rPr>
        <w:t xml:space="preserve"> are also refunded 100% and 50% respectively on the next day of unusual incident. From 3</w:t>
      </w:r>
      <w:r w:rsidRPr="00853344">
        <w:rPr>
          <w:rFonts w:ascii="Arial" w:hAnsi="Arial" w:cs="Arial"/>
          <w:sz w:val="24"/>
          <w:szCs w:val="24"/>
          <w:vertAlign w:val="superscript"/>
        </w:rPr>
        <w:t>rd</w:t>
      </w:r>
      <w:r w:rsidRPr="00853344">
        <w:rPr>
          <w:rFonts w:ascii="Arial" w:hAnsi="Arial" w:cs="Arial"/>
          <w:sz w:val="24"/>
          <w:szCs w:val="24"/>
        </w:rPr>
        <w:t xml:space="preserve"> day onwards </w:t>
      </w:r>
      <w:r w:rsidR="00EA46A9">
        <w:rPr>
          <w:rFonts w:ascii="Arial" w:hAnsi="Arial" w:cs="Arial"/>
          <w:sz w:val="24"/>
          <w:szCs w:val="24"/>
        </w:rPr>
        <w:t>₹</w:t>
      </w:r>
      <w:r w:rsidRPr="00853344">
        <w:rPr>
          <w:rFonts w:ascii="Arial" w:hAnsi="Arial" w:cs="Arial"/>
          <w:sz w:val="24"/>
          <w:szCs w:val="24"/>
        </w:rPr>
        <w:t xml:space="preserve">2/- (for tokens of </w:t>
      </w:r>
      <w:r w:rsidR="00EA46A9">
        <w:rPr>
          <w:rFonts w:ascii="Arial" w:hAnsi="Arial" w:cs="Arial"/>
          <w:sz w:val="24"/>
          <w:szCs w:val="24"/>
        </w:rPr>
        <w:t>₹</w:t>
      </w:r>
      <w:r w:rsidRPr="00853344">
        <w:rPr>
          <w:rFonts w:ascii="Arial" w:hAnsi="Arial" w:cs="Arial"/>
          <w:sz w:val="24"/>
          <w:szCs w:val="24"/>
        </w:rPr>
        <w:t xml:space="preserve">5/-) and </w:t>
      </w:r>
      <w:r w:rsidR="00EA46A9">
        <w:rPr>
          <w:rFonts w:ascii="Arial" w:hAnsi="Arial" w:cs="Arial"/>
          <w:sz w:val="24"/>
          <w:szCs w:val="24"/>
        </w:rPr>
        <w:t>₹</w:t>
      </w:r>
      <w:r w:rsidRPr="00853344">
        <w:rPr>
          <w:rFonts w:ascii="Arial" w:hAnsi="Arial" w:cs="Arial"/>
          <w:sz w:val="24"/>
          <w:szCs w:val="24"/>
        </w:rPr>
        <w:t xml:space="preserve">5/- (for tokens of more than </w:t>
      </w:r>
      <w:r w:rsidR="00EA46A9">
        <w:rPr>
          <w:rFonts w:ascii="Arial" w:hAnsi="Arial" w:cs="Arial"/>
          <w:sz w:val="24"/>
          <w:szCs w:val="24"/>
        </w:rPr>
        <w:t>₹</w:t>
      </w:r>
      <w:r w:rsidRPr="00853344">
        <w:rPr>
          <w:rFonts w:ascii="Arial" w:hAnsi="Arial" w:cs="Arial"/>
          <w:sz w:val="24"/>
          <w:szCs w:val="24"/>
        </w:rPr>
        <w:t>5/-) are refunded to the token holders wanting to return such tokens.</w:t>
      </w:r>
    </w:p>
    <w:p w:rsidR="006662F8" w:rsidRDefault="006662F8" w:rsidP="006662F8">
      <w:pPr>
        <w:pStyle w:val="ListParagraph"/>
        <w:numPr>
          <w:ilvl w:val="0"/>
          <w:numId w:val="3"/>
        </w:numPr>
        <w:spacing w:after="0" w:line="360" w:lineRule="auto"/>
        <w:ind w:left="709" w:hanging="567"/>
        <w:jc w:val="both"/>
        <w:rPr>
          <w:rFonts w:ascii="Arial" w:hAnsi="Arial" w:cs="Arial"/>
          <w:sz w:val="24"/>
          <w:szCs w:val="24"/>
        </w:rPr>
      </w:pPr>
      <w:r w:rsidRPr="00853344">
        <w:rPr>
          <w:rFonts w:ascii="Arial" w:hAnsi="Arial" w:cs="Arial"/>
          <w:sz w:val="24"/>
          <w:szCs w:val="24"/>
        </w:rPr>
        <w:t>Any refund on token / card purchased through RTC is done as per the rules applicable for other similar tickets but the refund is made only to the State Government and not to the individual membe</w:t>
      </w:r>
      <w:r w:rsidR="00E60A94">
        <w:rPr>
          <w:rFonts w:ascii="Arial" w:hAnsi="Arial" w:cs="Arial"/>
          <w:sz w:val="24"/>
          <w:szCs w:val="24"/>
        </w:rPr>
        <w:t>r</w:t>
      </w:r>
    </w:p>
    <w:p w:rsidR="00F26861" w:rsidRDefault="00F26861" w:rsidP="006662F8">
      <w:pPr>
        <w:pStyle w:val="ListParagraph"/>
        <w:numPr>
          <w:ilvl w:val="0"/>
          <w:numId w:val="3"/>
        </w:numPr>
        <w:spacing w:after="0" w:line="360" w:lineRule="auto"/>
        <w:ind w:left="709" w:hanging="567"/>
        <w:jc w:val="both"/>
        <w:rPr>
          <w:rFonts w:ascii="Arial" w:hAnsi="Arial" w:cs="Arial"/>
          <w:sz w:val="24"/>
          <w:szCs w:val="24"/>
        </w:rPr>
      </w:pPr>
      <w:r>
        <w:rPr>
          <w:rFonts w:ascii="Arial" w:hAnsi="Arial" w:cs="Arial"/>
          <w:sz w:val="24"/>
          <w:szCs w:val="24"/>
        </w:rPr>
        <w:t xml:space="preserve">The refund period will be maximum 30 days including the day of </w:t>
      </w:r>
      <w:r w:rsidR="000445FF">
        <w:rPr>
          <w:rFonts w:ascii="Arial" w:hAnsi="Arial" w:cs="Arial"/>
          <w:sz w:val="24"/>
          <w:szCs w:val="24"/>
        </w:rPr>
        <w:t>purchase</w:t>
      </w:r>
      <w:bookmarkStart w:id="0" w:name="_GoBack"/>
      <w:bookmarkEnd w:id="0"/>
      <w:r>
        <w:rPr>
          <w:rFonts w:ascii="Arial" w:hAnsi="Arial" w:cs="Arial"/>
          <w:sz w:val="24"/>
          <w:szCs w:val="24"/>
        </w:rPr>
        <w:t xml:space="preserve"> of tokens.</w:t>
      </w:r>
    </w:p>
    <w:p w:rsidR="0054403A" w:rsidRDefault="0054403A" w:rsidP="006662F8">
      <w:pPr>
        <w:pStyle w:val="ListParagraph"/>
        <w:numPr>
          <w:ilvl w:val="0"/>
          <w:numId w:val="3"/>
        </w:numPr>
        <w:spacing w:after="0" w:line="360" w:lineRule="auto"/>
        <w:ind w:left="709" w:hanging="567"/>
        <w:jc w:val="both"/>
        <w:rPr>
          <w:rFonts w:ascii="Arial" w:hAnsi="Arial" w:cs="Arial"/>
          <w:sz w:val="24"/>
          <w:szCs w:val="24"/>
        </w:rPr>
      </w:pPr>
      <w:r>
        <w:rPr>
          <w:rFonts w:ascii="Arial" w:hAnsi="Arial" w:cs="Arial"/>
          <w:sz w:val="24"/>
          <w:szCs w:val="24"/>
        </w:rPr>
        <w:t>S</w:t>
      </w:r>
      <w:r w:rsidR="00D0191C">
        <w:rPr>
          <w:rFonts w:ascii="Arial" w:hAnsi="Arial" w:cs="Arial"/>
          <w:sz w:val="24"/>
          <w:szCs w:val="24"/>
        </w:rPr>
        <w:t xml:space="preserve">ecurity </w:t>
      </w:r>
      <w:r>
        <w:rPr>
          <w:rFonts w:ascii="Arial" w:hAnsi="Arial" w:cs="Arial"/>
          <w:sz w:val="24"/>
          <w:szCs w:val="24"/>
        </w:rPr>
        <w:t>D</w:t>
      </w:r>
      <w:r w:rsidR="00D0191C">
        <w:rPr>
          <w:rFonts w:ascii="Arial" w:hAnsi="Arial" w:cs="Arial"/>
          <w:sz w:val="24"/>
          <w:szCs w:val="24"/>
        </w:rPr>
        <w:t>eposit</w:t>
      </w:r>
      <w:r>
        <w:rPr>
          <w:rFonts w:ascii="Arial" w:hAnsi="Arial" w:cs="Arial"/>
          <w:sz w:val="24"/>
          <w:szCs w:val="24"/>
        </w:rPr>
        <w:t xml:space="preserve"> is not refundable against physically damaged cards. A card will be </w:t>
      </w:r>
      <w:r w:rsidR="00D0191C">
        <w:rPr>
          <w:rFonts w:ascii="Arial" w:hAnsi="Arial" w:cs="Arial"/>
          <w:sz w:val="24"/>
          <w:szCs w:val="24"/>
        </w:rPr>
        <w:t>deemed as physically damaged if:</w:t>
      </w:r>
    </w:p>
    <w:p w:rsidR="00D0191C" w:rsidRDefault="00D0191C" w:rsidP="00D0191C">
      <w:pPr>
        <w:pStyle w:val="ListParagraph"/>
        <w:spacing w:after="0" w:line="360" w:lineRule="auto"/>
        <w:ind w:left="709"/>
        <w:jc w:val="both"/>
        <w:rPr>
          <w:rFonts w:ascii="Arial" w:hAnsi="Arial" w:cs="Arial"/>
          <w:sz w:val="24"/>
          <w:szCs w:val="24"/>
        </w:rPr>
      </w:pPr>
    </w:p>
    <w:p w:rsidR="00D0191C" w:rsidRDefault="00D0191C" w:rsidP="00D0191C">
      <w:pPr>
        <w:pStyle w:val="ListParagraph"/>
        <w:spacing w:after="0" w:line="360" w:lineRule="auto"/>
        <w:ind w:left="709"/>
        <w:jc w:val="both"/>
        <w:rPr>
          <w:rFonts w:ascii="Arial" w:hAnsi="Arial" w:cs="Arial"/>
          <w:sz w:val="24"/>
          <w:szCs w:val="24"/>
        </w:rPr>
      </w:pPr>
      <w:r>
        <w:rPr>
          <w:rFonts w:ascii="Arial" w:hAnsi="Arial" w:cs="Arial"/>
          <w:sz w:val="24"/>
          <w:szCs w:val="24"/>
        </w:rPr>
        <w:t>a)</w:t>
      </w:r>
      <w:r>
        <w:rPr>
          <w:rFonts w:ascii="Arial" w:hAnsi="Arial" w:cs="Arial"/>
          <w:sz w:val="24"/>
          <w:szCs w:val="24"/>
        </w:rPr>
        <w:tab/>
        <w:t>Card is in bent/twisted/perforated condition</w:t>
      </w:r>
    </w:p>
    <w:p w:rsidR="00D0191C" w:rsidRDefault="00D0191C" w:rsidP="00D0191C">
      <w:pPr>
        <w:pStyle w:val="ListParagraph"/>
        <w:spacing w:after="0" w:line="360" w:lineRule="auto"/>
        <w:ind w:left="709"/>
        <w:jc w:val="both"/>
        <w:rPr>
          <w:rFonts w:ascii="Arial" w:hAnsi="Arial" w:cs="Arial"/>
          <w:sz w:val="24"/>
          <w:szCs w:val="24"/>
        </w:rPr>
      </w:pPr>
      <w:r>
        <w:rPr>
          <w:rFonts w:ascii="Arial" w:hAnsi="Arial" w:cs="Arial"/>
          <w:sz w:val="24"/>
          <w:szCs w:val="24"/>
        </w:rPr>
        <w:t>b)</w:t>
      </w:r>
      <w:r>
        <w:rPr>
          <w:rFonts w:ascii="Arial" w:hAnsi="Arial" w:cs="Arial"/>
          <w:sz w:val="24"/>
          <w:szCs w:val="24"/>
        </w:rPr>
        <w:tab/>
        <w:t>Card is broken/torn/cut/stapled/pinned</w:t>
      </w:r>
    </w:p>
    <w:p w:rsidR="00D0191C" w:rsidRDefault="00D0191C" w:rsidP="00D0191C">
      <w:pPr>
        <w:pStyle w:val="ListParagraph"/>
        <w:spacing w:after="0" w:line="360" w:lineRule="auto"/>
        <w:ind w:left="709"/>
        <w:jc w:val="both"/>
        <w:rPr>
          <w:rFonts w:ascii="Arial" w:hAnsi="Arial" w:cs="Arial"/>
          <w:sz w:val="24"/>
          <w:szCs w:val="24"/>
        </w:rPr>
      </w:pPr>
      <w:r>
        <w:rPr>
          <w:rFonts w:ascii="Arial" w:hAnsi="Arial" w:cs="Arial"/>
          <w:sz w:val="24"/>
          <w:szCs w:val="24"/>
        </w:rPr>
        <w:t>c)</w:t>
      </w:r>
      <w:r>
        <w:rPr>
          <w:rFonts w:ascii="Arial" w:hAnsi="Arial" w:cs="Arial"/>
          <w:sz w:val="24"/>
          <w:szCs w:val="24"/>
        </w:rPr>
        <w:tab/>
        <w:t>Card surface is scratched/badly worn out</w:t>
      </w:r>
    </w:p>
    <w:p w:rsidR="00D0191C" w:rsidRPr="00853344" w:rsidRDefault="00D0191C" w:rsidP="00D0191C">
      <w:pPr>
        <w:pStyle w:val="ListParagraph"/>
        <w:spacing w:after="0" w:line="360" w:lineRule="auto"/>
        <w:ind w:left="709"/>
        <w:jc w:val="both"/>
        <w:rPr>
          <w:rFonts w:ascii="Arial" w:hAnsi="Arial" w:cs="Arial"/>
          <w:sz w:val="24"/>
          <w:szCs w:val="24"/>
        </w:rPr>
      </w:pPr>
    </w:p>
    <w:p w:rsidR="006662F8" w:rsidRPr="00853344" w:rsidRDefault="006662F8" w:rsidP="006662F8">
      <w:pPr>
        <w:pStyle w:val="ListParagraph"/>
        <w:spacing w:after="0" w:line="360" w:lineRule="auto"/>
        <w:ind w:left="709"/>
        <w:jc w:val="both"/>
        <w:rPr>
          <w:rFonts w:ascii="Arial" w:hAnsi="Arial" w:cs="Arial"/>
          <w:sz w:val="24"/>
          <w:szCs w:val="24"/>
        </w:rPr>
      </w:pPr>
    </w:p>
    <w:p w:rsidR="004F081C" w:rsidRDefault="004F081C"/>
    <w:sectPr w:rsidR="004F081C" w:rsidSect="00AE6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06D86"/>
    <w:multiLevelType w:val="hybridMultilevel"/>
    <w:tmpl w:val="D39A60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7B73EBD"/>
    <w:multiLevelType w:val="hybridMultilevel"/>
    <w:tmpl w:val="4D7A90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243806"/>
    <w:multiLevelType w:val="hybridMultilevel"/>
    <w:tmpl w:val="99B0A0D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7D630175"/>
    <w:multiLevelType w:val="hybridMultilevel"/>
    <w:tmpl w:val="0360F1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8D"/>
    <w:rsid w:val="000445FF"/>
    <w:rsid w:val="0008738D"/>
    <w:rsid w:val="0010103A"/>
    <w:rsid w:val="00140DD7"/>
    <w:rsid w:val="001F657E"/>
    <w:rsid w:val="004F081C"/>
    <w:rsid w:val="0054403A"/>
    <w:rsid w:val="00621E8F"/>
    <w:rsid w:val="006662F8"/>
    <w:rsid w:val="00684642"/>
    <w:rsid w:val="008408B4"/>
    <w:rsid w:val="008447F0"/>
    <w:rsid w:val="0094402F"/>
    <w:rsid w:val="00A54C74"/>
    <w:rsid w:val="00AE68A3"/>
    <w:rsid w:val="00BC14D1"/>
    <w:rsid w:val="00C33265"/>
    <w:rsid w:val="00D0191C"/>
    <w:rsid w:val="00D540FC"/>
    <w:rsid w:val="00E60A94"/>
    <w:rsid w:val="00EA46A9"/>
    <w:rsid w:val="00EB739F"/>
    <w:rsid w:val="00F2686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1AA9E-5667-49C0-9786-7E80801A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738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8738D"/>
    <w:pPr>
      <w:ind w:left="720"/>
      <w:contextualSpacing/>
    </w:pPr>
  </w:style>
  <w:style w:type="table" w:styleId="TableGrid">
    <w:name w:val="Table Grid"/>
    <w:basedOn w:val="TableNormal"/>
    <w:uiPriority w:val="59"/>
    <w:rsid w:val="0008738D"/>
    <w:pPr>
      <w:spacing w:after="0" w:line="240" w:lineRule="auto"/>
    </w:pPr>
    <w:rPr>
      <w:rFonts w:eastAsiaTheme="minorEastAsia"/>
      <w:szCs w:val="28"/>
      <w:lang w:val="en-US" w:bidi="as-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dc:creator>
  <cp:lastModifiedBy>User</cp:lastModifiedBy>
  <cp:revision>5</cp:revision>
  <cp:lastPrinted>2024-05-20T09:28:00Z</cp:lastPrinted>
  <dcterms:created xsi:type="dcterms:W3CDTF">2024-05-17T05:42:00Z</dcterms:created>
  <dcterms:modified xsi:type="dcterms:W3CDTF">2024-05-20T10:20:00Z</dcterms:modified>
</cp:coreProperties>
</file>